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207" w:rsidRPr="00B57A5E" w:rsidRDefault="00936207" w:rsidP="00936207">
      <w:pPr>
        <w:rPr>
          <w:rFonts w:ascii="Times" w:hAnsi="Times"/>
          <w:b/>
          <w:color w:val="244061" w:themeColor="accent1" w:themeShade="80"/>
          <w:sz w:val="28"/>
          <w:szCs w:val="28"/>
        </w:rPr>
      </w:pPr>
      <w:r w:rsidRPr="00B57A5E">
        <w:rPr>
          <w:b/>
          <w:i/>
          <w:color w:val="244061" w:themeColor="accent1" w:themeShade="80"/>
          <w:sz w:val="28"/>
          <w:szCs w:val="28"/>
        </w:rPr>
        <w:t>Building What? </w:t>
      </w:r>
      <w:bookmarkStart w:id="0" w:name="_GoBack"/>
      <w:bookmarkEnd w:id="0"/>
    </w:p>
    <w:p w:rsidR="00936207" w:rsidRPr="00B57A5E" w:rsidRDefault="00936207" w:rsidP="00936207">
      <w:pPr>
        <w:rPr>
          <w:rFonts w:cs="Times New Roman"/>
          <w:i/>
          <w:color w:val="244061" w:themeColor="accent1" w:themeShade="80"/>
        </w:rPr>
      </w:pPr>
      <w:r w:rsidRPr="00B57A5E">
        <w:rPr>
          <w:rFonts w:cs="Times New Roman"/>
          <w:i/>
          <w:color w:val="244061" w:themeColor="accent1" w:themeShade="80"/>
        </w:rPr>
        <w:t> </w:t>
      </w:r>
    </w:p>
    <w:p w:rsidR="00B57A5E" w:rsidRPr="00B57A5E" w:rsidRDefault="00B57A5E" w:rsidP="00936207">
      <w:pPr>
        <w:rPr>
          <w:rFonts w:cs="Times New Roman"/>
          <w:color w:val="244061" w:themeColor="accent1" w:themeShade="80"/>
        </w:rPr>
      </w:pPr>
      <w:r w:rsidRPr="00B57A5E">
        <w:rPr>
          <w:rFonts w:cs="Times New Roman"/>
          <w:color w:val="244061" w:themeColor="accent1" w:themeShade="80"/>
        </w:rPr>
        <w:t xml:space="preserve">January 2014 </w:t>
      </w:r>
    </w:p>
    <w:p w:rsidR="00B57A5E" w:rsidRPr="00B57A5E" w:rsidRDefault="00B57A5E" w:rsidP="00936207">
      <w:pPr>
        <w:rPr>
          <w:rFonts w:cs="Times New Roman"/>
          <w:color w:val="244061" w:themeColor="accent1" w:themeShade="80"/>
        </w:rPr>
      </w:pPr>
    </w:p>
    <w:p w:rsidR="00936207" w:rsidRPr="00B57A5E" w:rsidRDefault="00936207" w:rsidP="00936207">
      <w:pPr>
        <w:rPr>
          <w:rFonts w:cs="Times New Roman"/>
          <w:color w:val="244061" w:themeColor="accent1" w:themeShade="80"/>
        </w:rPr>
      </w:pPr>
      <w:r w:rsidRPr="00B57A5E">
        <w:rPr>
          <w:rFonts w:cs="Times New Roman"/>
          <w:color w:val="244061" w:themeColor="accent1" w:themeShade="80"/>
        </w:rPr>
        <w:t>Every organization has four "core" capacities: adaptive, or the ability to respond to changes in the internal or external environment; leadership, which provides direction; management, which ensures the efficient use of resources; and technical, the delivery of programs and services. Often there comes a point when an organization realizes that in order to grow, these capacities need to be improved, or "built" upon so that it can better fulfill its mission and serve its constituency, as well as increase the board's and staff's level of knowledge. This can be accomplished through a variety of ways, including an organization-wide assessment, business planning, fund, staff, or board development, technical or financial system upgrades, and facilities planning. </w:t>
      </w:r>
    </w:p>
    <w:p w:rsidR="00936207" w:rsidRPr="00B57A5E" w:rsidRDefault="00936207" w:rsidP="00936207">
      <w:pPr>
        <w:rPr>
          <w:rFonts w:cs="Times New Roman"/>
          <w:color w:val="244061" w:themeColor="accent1" w:themeShade="80"/>
        </w:rPr>
      </w:pPr>
      <w:r w:rsidRPr="00B57A5E">
        <w:rPr>
          <w:rFonts w:cs="Times New Roman"/>
          <w:color w:val="244061" w:themeColor="accent1" w:themeShade="80"/>
        </w:rPr>
        <w:t> </w:t>
      </w:r>
    </w:p>
    <w:p w:rsidR="00936207" w:rsidRPr="00B57A5E" w:rsidRDefault="00936207" w:rsidP="00936207">
      <w:pPr>
        <w:rPr>
          <w:rFonts w:cs="Times New Roman"/>
          <w:color w:val="244061" w:themeColor="accent1" w:themeShade="80"/>
        </w:rPr>
      </w:pPr>
      <w:r w:rsidRPr="00B57A5E">
        <w:rPr>
          <w:rFonts w:cs="Times New Roman"/>
          <w:color w:val="244061" w:themeColor="accent1" w:themeShade="80"/>
        </w:rPr>
        <w:t>Here are a few things to keep in mind as you plan for, and complete, a capacity building initiative:  </w:t>
      </w:r>
    </w:p>
    <w:p w:rsidR="00936207" w:rsidRPr="00B57A5E" w:rsidRDefault="00936207" w:rsidP="00936207">
      <w:pPr>
        <w:rPr>
          <w:rFonts w:cs="Times New Roman"/>
          <w:color w:val="244061" w:themeColor="accent1" w:themeShade="80"/>
        </w:rPr>
      </w:pPr>
      <w:r w:rsidRPr="00B57A5E">
        <w:rPr>
          <w:rFonts w:cs="Times New Roman"/>
          <w:color w:val="244061" w:themeColor="accent1" w:themeShade="80"/>
        </w:rPr>
        <w:t> </w:t>
      </w:r>
    </w:p>
    <w:p w:rsidR="00936207" w:rsidRPr="00B57A5E" w:rsidRDefault="00936207" w:rsidP="00936207">
      <w:pPr>
        <w:rPr>
          <w:rFonts w:cs="Times New Roman"/>
          <w:color w:val="244061" w:themeColor="accent1" w:themeShade="80"/>
        </w:rPr>
      </w:pPr>
      <w:r w:rsidRPr="00B57A5E">
        <w:rPr>
          <w:rFonts w:cs="Times New Roman"/>
          <w:color w:val="244061" w:themeColor="accent1" w:themeShade="80"/>
        </w:rPr>
        <w:t>1. Are you really ready for this? A board and staff committed to the project, strong programs, no crises, and a strong sense of needs and future priorities are the foundation of a successful capacity building effort.    </w:t>
      </w:r>
    </w:p>
    <w:p w:rsidR="00936207" w:rsidRPr="00B57A5E" w:rsidRDefault="00936207" w:rsidP="00936207">
      <w:pPr>
        <w:rPr>
          <w:rFonts w:cs="Times New Roman"/>
          <w:color w:val="244061" w:themeColor="accent1" w:themeShade="80"/>
        </w:rPr>
      </w:pPr>
      <w:r w:rsidRPr="00B57A5E">
        <w:rPr>
          <w:rFonts w:cs="Times New Roman"/>
          <w:color w:val="244061" w:themeColor="accent1" w:themeShade="80"/>
        </w:rPr>
        <w:t> </w:t>
      </w:r>
    </w:p>
    <w:p w:rsidR="00936207" w:rsidRPr="00B57A5E" w:rsidRDefault="00936207" w:rsidP="00936207">
      <w:pPr>
        <w:rPr>
          <w:rFonts w:cs="Times New Roman"/>
          <w:color w:val="244061" w:themeColor="accent1" w:themeShade="80"/>
        </w:rPr>
      </w:pPr>
      <w:r w:rsidRPr="00B57A5E">
        <w:rPr>
          <w:rFonts w:cs="Times New Roman"/>
          <w:color w:val="244061" w:themeColor="accent1" w:themeShade="80"/>
        </w:rPr>
        <w:t xml:space="preserve">2. Prioritize. Trying to do everything at once will get you </w:t>
      </w:r>
      <w:proofErr w:type="gramStart"/>
      <w:r w:rsidRPr="00B57A5E">
        <w:rPr>
          <w:rFonts w:cs="Times New Roman"/>
          <w:color w:val="244061" w:themeColor="accent1" w:themeShade="80"/>
        </w:rPr>
        <w:t>nowhere.</w:t>
      </w:r>
      <w:proofErr w:type="gramEnd"/>
      <w:r w:rsidRPr="00B57A5E">
        <w:rPr>
          <w:rFonts w:cs="Times New Roman"/>
          <w:color w:val="244061" w:themeColor="accent1" w:themeShade="80"/>
        </w:rPr>
        <w:t xml:space="preserve"> Instead, determine the goals by assessing what you can accomplish during the initiative's duration. </w:t>
      </w:r>
    </w:p>
    <w:p w:rsidR="00936207" w:rsidRPr="00B57A5E" w:rsidRDefault="00936207" w:rsidP="00936207">
      <w:pPr>
        <w:rPr>
          <w:rFonts w:cs="Times New Roman"/>
          <w:color w:val="244061" w:themeColor="accent1" w:themeShade="80"/>
        </w:rPr>
      </w:pPr>
      <w:r w:rsidRPr="00B57A5E">
        <w:rPr>
          <w:rFonts w:cs="Times New Roman"/>
          <w:color w:val="244061" w:themeColor="accent1" w:themeShade="80"/>
        </w:rPr>
        <w:t> </w:t>
      </w:r>
    </w:p>
    <w:p w:rsidR="00936207" w:rsidRPr="00B57A5E" w:rsidRDefault="00936207" w:rsidP="00936207">
      <w:pPr>
        <w:rPr>
          <w:rFonts w:cs="Times New Roman"/>
          <w:color w:val="244061" w:themeColor="accent1" w:themeShade="80"/>
        </w:rPr>
      </w:pPr>
      <w:r w:rsidRPr="00B57A5E">
        <w:rPr>
          <w:rFonts w:cs="Times New Roman"/>
          <w:color w:val="244061" w:themeColor="accent1" w:themeShade="80"/>
        </w:rPr>
        <w:t>3. Build on your strengths, don't try to fix your weaknesses. Capacity building is not a way to solve problems, although a few can be dealt with along the way. It's an exercise to figure out what you do well and how you can do it better.</w:t>
      </w:r>
    </w:p>
    <w:p w:rsidR="00936207" w:rsidRPr="00B57A5E" w:rsidRDefault="00936207" w:rsidP="00936207">
      <w:pPr>
        <w:rPr>
          <w:rFonts w:cs="Times New Roman"/>
          <w:color w:val="244061" w:themeColor="accent1" w:themeShade="80"/>
        </w:rPr>
      </w:pPr>
      <w:r w:rsidRPr="00B57A5E">
        <w:rPr>
          <w:rFonts w:cs="Times New Roman"/>
          <w:color w:val="244061" w:themeColor="accent1" w:themeShade="80"/>
        </w:rPr>
        <w:t> </w:t>
      </w:r>
    </w:p>
    <w:p w:rsidR="00936207" w:rsidRPr="00B57A5E" w:rsidRDefault="00936207" w:rsidP="00936207">
      <w:pPr>
        <w:rPr>
          <w:rFonts w:cs="Times New Roman"/>
          <w:color w:val="244061" w:themeColor="accent1" w:themeShade="80"/>
        </w:rPr>
      </w:pPr>
      <w:r w:rsidRPr="00B57A5E">
        <w:rPr>
          <w:rFonts w:cs="Times New Roman"/>
          <w:color w:val="244061" w:themeColor="accent1" w:themeShade="80"/>
        </w:rPr>
        <w:t xml:space="preserve">4. Don't put it in a vacuum. Often capacity building happens outside of day-to-day operations. It shouldn't be.  Embed it in your culture so that building on successes and improvement are part of everyone's daily mindset. </w:t>
      </w:r>
    </w:p>
    <w:p w:rsidR="00936207" w:rsidRPr="00B57A5E" w:rsidRDefault="00936207" w:rsidP="00936207">
      <w:pPr>
        <w:rPr>
          <w:rFonts w:cs="Times New Roman"/>
          <w:color w:val="244061" w:themeColor="accent1" w:themeShade="80"/>
        </w:rPr>
      </w:pPr>
      <w:r w:rsidRPr="00B57A5E">
        <w:rPr>
          <w:rFonts w:cs="Times New Roman"/>
          <w:color w:val="244061" w:themeColor="accent1" w:themeShade="80"/>
        </w:rPr>
        <w:t> </w:t>
      </w:r>
    </w:p>
    <w:p w:rsidR="00936207" w:rsidRPr="00B57A5E" w:rsidRDefault="00936207" w:rsidP="00936207">
      <w:pPr>
        <w:rPr>
          <w:rFonts w:cs="Times New Roman"/>
          <w:color w:val="244061" w:themeColor="accent1" w:themeShade="80"/>
        </w:rPr>
      </w:pPr>
      <w:r w:rsidRPr="00B57A5E">
        <w:rPr>
          <w:rFonts w:cs="Times New Roman"/>
          <w:color w:val="244061" w:themeColor="accent1" w:themeShade="80"/>
        </w:rPr>
        <w:t xml:space="preserve">5. One size does NOT fit all. While organizational challenges are commonplace, yours are unique to you just as your mission is unique to you. Therefore, tailor your capacity building to your needs and resources - don't try to duplicate what others have done. And beware the consultant who doesn't really listen to your concerns and merely gives standard solutions. </w:t>
      </w:r>
    </w:p>
    <w:p w:rsidR="00936207" w:rsidRPr="00B57A5E" w:rsidRDefault="00936207" w:rsidP="00936207">
      <w:pPr>
        <w:rPr>
          <w:rFonts w:cs="Times New Roman"/>
          <w:color w:val="244061" w:themeColor="accent1" w:themeShade="80"/>
        </w:rPr>
      </w:pPr>
      <w:r w:rsidRPr="00B57A5E">
        <w:rPr>
          <w:rFonts w:cs="Times New Roman"/>
          <w:color w:val="244061" w:themeColor="accent1" w:themeShade="80"/>
        </w:rPr>
        <w:t> </w:t>
      </w:r>
    </w:p>
    <w:p w:rsidR="00936207" w:rsidRPr="00B57A5E" w:rsidRDefault="00936207" w:rsidP="00936207">
      <w:pPr>
        <w:rPr>
          <w:rFonts w:cs="Times New Roman"/>
          <w:color w:val="244061" w:themeColor="accent1" w:themeShade="80"/>
        </w:rPr>
      </w:pPr>
      <w:r w:rsidRPr="00B57A5E">
        <w:rPr>
          <w:rFonts w:cs="Times New Roman"/>
          <w:color w:val="244061" w:themeColor="accent1" w:themeShade="80"/>
        </w:rPr>
        <w:t xml:space="preserve">6. All Aboard! All internal stakeholders need to be involved in the process and be </w:t>
      </w:r>
      <w:proofErr w:type="spellStart"/>
      <w:r w:rsidRPr="00B57A5E">
        <w:rPr>
          <w:rFonts w:cs="Times New Roman"/>
          <w:color w:val="244061" w:themeColor="accent1" w:themeShade="80"/>
        </w:rPr>
        <w:t>wiling</w:t>
      </w:r>
      <w:proofErr w:type="spellEnd"/>
      <w:r w:rsidRPr="00B57A5E">
        <w:rPr>
          <w:rFonts w:cs="Times New Roman"/>
          <w:color w:val="244061" w:themeColor="accent1" w:themeShade="80"/>
        </w:rPr>
        <w:t xml:space="preserve"> to accept change. Clarify roles so each knows their part. </w:t>
      </w:r>
    </w:p>
    <w:p w:rsidR="00936207" w:rsidRPr="00B57A5E" w:rsidRDefault="00936207" w:rsidP="00936207">
      <w:pPr>
        <w:rPr>
          <w:rFonts w:cs="Times New Roman"/>
          <w:color w:val="244061" w:themeColor="accent1" w:themeShade="80"/>
        </w:rPr>
      </w:pPr>
      <w:r w:rsidRPr="00B57A5E">
        <w:rPr>
          <w:rFonts w:cs="Times New Roman"/>
          <w:color w:val="244061" w:themeColor="accent1" w:themeShade="80"/>
        </w:rPr>
        <w:t> </w:t>
      </w:r>
    </w:p>
    <w:p w:rsidR="00936207" w:rsidRPr="00B57A5E" w:rsidRDefault="00936207" w:rsidP="00936207">
      <w:pPr>
        <w:rPr>
          <w:rFonts w:cs="Times New Roman"/>
          <w:color w:val="244061" w:themeColor="accent1" w:themeShade="80"/>
        </w:rPr>
      </w:pPr>
      <w:r w:rsidRPr="00B57A5E">
        <w:rPr>
          <w:rFonts w:cs="Times New Roman"/>
          <w:color w:val="244061" w:themeColor="accent1" w:themeShade="80"/>
        </w:rPr>
        <w:t xml:space="preserve">7. Don't forget the follow-through. Like strategic planning documents, capacity building reports are often put on the shelf and left to gather dust. The report itself is seen as the accomplishment. Well, it's not. Make sure you include an implementation plan and hold all involved accountable for their part. </w:t>
      </w:r>
    </w:p>
    <w:p w:rsidR="00936207" w:rsidRPr="00B57A5E" w:rsidRDefault="00936207" w:rsidP="00936207">
      <w:pPr>
        <w:rPr>
          <w:rFonts w:cs="Times New Roman"/>
          <w:color w:val="244061" w:themeColor="accent1" w:themeShade="80"/>
        </w:rPr>
      </w:pPr>
      <w:r w:rsidRPr="00B57A5E">
        <w:rPr>
          <w:rFonts w:cs="Times New Roman"/>
          <w:color w:val="244061" w:themeColor="accent1" w:themeShade="80"/>
        </w:rPr>
        <w:lastRenderedPageBreak/>
        <w:t> </w:t>
      </w:r>
    </w:p>
    <w:p w:rsidR="00936207" w:rsidRPr="00B57A5E" w:rsidRDefault="00936207" w:rsidP="00936207">
      <w:pPr>
        <w:rPr>
          <w:rFonts w:cs="Times New Roman"/>
          <w:color w:val="244061" w:themeColor="accent1" w:themeShade="80"/>
        </w:rPr>
      </w:pPr>
      <w:r w:rsidRPr="00B57A5E">
        <w:rPr>
          <w:rFonts w:cs="Times New Roman"/>
          <w:color w:val="244061" w:themeColor="accent1" w:themeShade="80"/>
        </w:rPr>
        <w:t xml:space="preserve">8. Be patient. Change happens gradually, and it often takes years to see results. </w:t>
      </w:r>
    </w:p>
    <w:p w:rsidR="00936207" w:rsidRPr="00B57A5E" w:rsidRDefault="00936207" w:rsidP="00936207">
      <w:pPr>
        <w:rPr>
          <w:rFonts w:cs="Times New Roman"/>
          <w:color w:val="244061" w:themeColor="accent1" w:themeShade="80"/>
        </w:rPr>
      </w:pPr>
      <w:r w:rsidRPr="00B57A5E">
        <w:rPr>
          <w:rFonts w:cs="Times New Roman"/>
          <w:color w:val="244061" w:themeColor="accent1" w:themeShade="80"/>
        </w:rPr>
        <w:t> </w:t>
      </w:r>
    </w:p>
    <w:p w:rsidR="00936207" w:rsidRPr="00B57A5E" w:rsidRDefault="00936207" w:rsidP="00936207">
      <w:pPr>
        <w:rPr>
          <w:rFonts w:cs="Times New Roman"/>
          <w:color w:val="244061" w:themeColor="accent1" w:themeShade="80"/>
        </w:rPr>
      </w:pPr>
      <w:r w:rsidRPr="00B57A5E">
        <w:rPr>
          <w:rFonts w:cs="Times New Roman"/>
          <w:color w:val="244061" w:themeColor="accent1" w:themeShade="80"/>
        </w:rPr>
        <w:t xml:space="preserve">For a little more reading: </w:t>
      </w:r>
    </w:p>
    <w:p w:rsidR="00936207" w:rsidRPr="00B57A5E" w:rsidRDefault="00956634" w:rsidP="00936207">
      <w:pPr>
        <w:rPr>
          <w:rFonts w:cs="Times New Roman"/>
          <w:color w:val="244061" w:themeColor="accent1" w:themeShade="80"/>
        </w:rPr>
      </w:pPr>
      <w:hyperlink r:id="rId4" w:tgtFrame="_blank" w:history="1">
        <w:r w:rsidR="00936207" w:rsidRPr="00B57A5E">
          <w:rPr>
            <w:rFonts w:cs="Times New Roman"/>
            <w:i/>
            <w:iCs/>
            <w:color w:val="244061" w:themeColor="accent1" w:themeShade="80"/>
            <w:u w:val="single"/>
          </w:rPr>
          <w:t>Venture Partners' Effective Capacity Building in Nonprofit Organizations</w:t>
        </w:r>
      </w:hyperlink>
      <w:r w:rsidR="00936207" w:rsidRPr="00B57A5E">
        <w:rPr>
          <w:rFonts w:cs="Times New Roman"/>
          <w:color w:val="244061" w:themeColor="accent1" w:themeShade="80"/>
        </w:rPr>
        <w:t> </w:t>
      </w:r>
    </w:p>
    <w:p w:rsidR="00936207" w:rsidRPr="00B57A5E" w:rsidRDefault="00956634" w:rsidP="00936207">
      <w:pPr>
        <w:rPr>
          <w:rFonts w:cs="Times New Roman"/>
          <w:color w:val="244061" w:themeColor="accent1" w:themeShade="80"/>
        </w:rPr>
      </w:pPr>
      <w:hyperlink r:id="rId5" w:tgtFrame="_blank" w:history="1">
        <w:r w:rsidR="00936207" w:rsidRPr="00B57A5E">
          <w:rPr>
            <w:rFonts w:cs="Times New Roman"/>
            <w:color w:val="244061" w:themeColor="accent1" w:themeShade="80"/>
            <w:u w:val="single"/>
          </w:rPr>
          <w:t>TCC Group reports</w:t>
        </w:r>
      </w:hyperlink>
      <w:r w:rsidR="00936207" w:rsidRPr="00B57A5E">
        <w:rPr>
          <w:rFonts w:cs="Times New Roman"/>
          <w:color w:val="244061" w:themeColor="accent1" w:themeShade="80"/>
        </w:rPr>
        <w:t> </w:t>
      </w:r>
    </w:p>
    <w:p w:rsidR="00936207" w:rsidRPr="00B57A5E" w:rsidRDefault="00956634" w:rsidP="00936207">
      <w:pPr>
        <w:rPr>
          <w:rFonts w:cs="Times New Roman"/>
          <w:color w:val="244061" w:themeColor="accent1" w:themeShade="80"/>
        </w:rPr>
      </w:pPr>
      <w:hyperlink r:id="rId6" w:tgtFrame="_blank" w:history="1">
        <w:r w:rsidR="00936207" w:rsidRPr="00B57A5E">
          <w:rPr>
            <w:rFonts w:cs="Times New Roman"/>
            <w:color w:val="244061" w:themeColor="accent1" w:themeShade="80"/>
            <w:u w:val="single"/>
          </w:rPr>
          <w:t>SSI Review</w:t>
        </w:r>
      </w:hyperlink>
      <w:r w:rsidR="00936207" w:rsidRPr="00B57A5E">
        <w:rPr>
          <w:rFonts w:cs="Times New Roman"/>
          <w:color w:val="244061" w:themeColor="accent1" w:themeShade="80"/>
        </w:rPr>
        <w:t> </w:t>
      </w:r>
    </w:p>
    <w:p w:rsidR="00936207" w:rsidRPr="00B57A5E" w:rsidRDefault="00956634" w:rsidP="00936207">
      <w:pPr>
        <w:rPr>
          <w:rFonts w:cs="Times New Roman"/>
          <w:color w:val="244061" w:themeColor="accent1" w:themeShade="80"/>
        </w:rPr>
      </w:pPr>
      <w:hyperlink r:id="rId7" w:tgtFrame="_blank" w:history="1">
        <w:r w:rsidR="00936207" w:rsidRPr="00B57A5E">
          <w:rPr>
            <w:rFonts w:cs="Times New Roman"/>
            <w:color w:val="244061" w:themeColor="accent1" w:themeShade="80"/>
            <w:u w:val="single"/>
          </w:rPr>
          <w:t>Nonprofit Quarterly</w:t>
        </w:r>
      </w:hyperlink>
      <w:r w:rsidR="00936207" w:rsidRPr="00B57A5E">
        <w:rPr>
          <w:rFonts w:cs="Times New Roman"/>
          <w:color w:val="244061" w:themeColor="accent1" w:themeShade="80"/>
        </w:rPr>
        <w:t> </w:t>
      </w:r>
    </w:p>
    <w:p w:rsidR="00936207" w:rsidRPr="00B57A5E" w:rsidRDefault="00936207" w:rsidP="00936207">
      <w:pPr>
        <w:rPr>
          <w:rFonts w:cs="Times New Roman"/>
          <w:color w:val="244061" w:themeColor="accent1" w:themeShade="80"/>
        </w:rPr>
      </w:pPr>
      <w:r w:rsidRPr="00B57A5E">
        <w:rPr>
          <w:rFonts w:cs="Times New Roman"/>
          <w:color w:val="244061" w:themeColor="accent1" w:themeShade="80"/>
        </w:rPr>
        <w:t> </w:t>
      </w:r>
    </w:p>
    <w:p w:rsidR="00165AD7" w:rsidRPr="00B57A5E" w:rsidRDefault="00B57A5E">
      <w:pPr>
        <w:rPr>
          <w:color w:val="244061" w:themeColor="accent1" w:themeShade="80"/>
        </w:rPr>
      </w:pPr>
      <w:r>
        <w:rPr>
          <w:color w:val="244061" w:themeColor="accent1" w:themeShade="80"/>
        </w:rPr>
        <w:t xml:space="preserve">© Susan </w:t>
      </w:r>
      <w:proofErr w:type="spellStart"/>
      <w:r>
        <w:rPr>
          <w:color w:val="244061" w:themeColor="accent1" w:themeShade="80"/>
        </w:rPr>
        <w:t>Mathisen</w:t>
      </w:r>
      <w:proofErr w:type="spellEnd"/>
      <w:r w:rsidR="004F7A40">
        <w:rPr>
          <w:color w:val="244061" w:themeColor="accent1" w:themeShade="80"/>
        </w:rPr>
        <w:t>, 2014</w:t>
      </w:r>
      <w:r>
        <w:rPr>
          <w:color w:val="244061" w:themeColor="accent1" w:themeShade="80"/>
        </w:rPr>
        <w:t xml:space="preserve"> </w:t>
      </w:r>
    </w:p>
    <w:sectPr w:rsidR="00165AD7" w:rsidRPr="00B57A5E" w:rsidSect="00165AD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936207"/>
    <w:rsid w:val="004F7A40"/>
    <w:rsid w:val="00936207"/>
    <w:rsid w:val="00956634"/>
    <w:rsid w:val="00B57A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FC86F-8C99-4CC6-8044-E57752DD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A11"/>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36207"/>
    <w:pPr>
      <w:spacing w:beforeLines="1" w:afterLines="1"/>
    </w:pPr>
    <w:rPr>
      <w:rFonts w:ascii="Times" w:hAnsi="Times" w:cs="Times New Roman"/>
      <w:sz w:val="20"/>
      <w:szCs w:val="20"/>
    </w:rPr>
  </w:style>
  <w:style w:type="character" w:styleId="Hyperlink">
    <w:name w:val="Hyperlink"/>
    <w:basedOn w:val="DefaultParagraphFont"/>
    <w:uiPriority w:val="99"/>
    <w:rsid w:val="00936207"/>
    <w:rPr>
      <w:color w:val="0000FF"/>
      <w:u w:val="single"/>
    </w:rPr>
  </w:style>
  <w:style w:type="character" w:styleId="Emphasis">
    <w:name w:val="Emphasis"/>
    <w:basedOn w:val="DefaultParagraphFont"/>
    <w:uiPriority w:val="20"/>
    <w:rsid w:val="0093620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070724">
      <w:bodyDiv w:val="1"/>
      <w:marLeft w:val="0"/>
      <w:marRight w:val="0"/>
      <w:marTop w:val="0"/>
      <w:marBottom w:val="0"/>
      <w:divBdr>
        <w:top w:val="none" w:sz="0" w:space="0" w:color="auto"/>
        <w:left w:val="none" w:sz="0" w:space="0" w:color="auto"/>
        <w:bottom w:val="none" w:sz="0" w:space="0" w:color="auto"/>
        <w:right w:val="none" w:sz="0" w:space="0" w:color="auto"/>
      </w:divBdr>
      <w:divsChild>
        <w:div w:id="1221215017">
          <w:marLeft w:val="0"/>
          <w:marRight w:val="0"/>
          <w:marTop w:val="0"/>
          <w:marBottom w:val="0"/>
          <w:divBdr>
            <w:top w:val="none" w:sz="0" w:space="0" w:color="auto"/>
            <w:left w:val="none" w:sz="0" w:space="0" w:color="auto"/>
            <w:bottom w:val="none" w:sz="0" w:space="0" w:color="auto"/>
            <w:right w:val="none" w:sz="0" w:space="0" w:color="auto"/>
          </w:divBdr>
        </w:div>
        <w:div w:id="58838906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onprofitquarterl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ireview.org" TargetMode="External"/><Relationship Id="rId5" Type="http://schemas.openxmlformats.org/officeDocument/2006/relationships/hyperlink" Target="http://www.tccgrp.com/knowledge/capacity.php" TargetMode="External"/><Relationship Id="rId4" Type="http://schemas.openxmlformats.org/officeDocument/2006/relationships/hyperlink" Target="http://www.vppartners.org/sites/default/files/reports/full_rpt.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Mathisen</dc:creator>
  <cp:keywords/>
  <cp:lastModifiedBy>SAMathisen</cp:lastModifiedBy>
  <cp:revision>3</cp:revision>
  <dcterms:created xsi:type="dcterms:W3CDTF">2015-12-29T20:29:00Z</dcterms:created>
  <dcterms:modified xsi:type="dcterms:W3CDTF">2017-02-16T20:13:00Z</dcterms:modified>
</cp:coreProperties>
</file>